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881F" w14:textId="77777777" w:rsidR="00C12143" w:rsidRPr="00571932" w:rsidRDefault="00C12143">
      <w:pPr>
        <w:spacing w:after="0"/>
        <w:ind w:left="-1440" w:right="15400"/>
      </w:pPr>
    </w:p>
    <w:tbl>
      <w:tblPr>
        <w:tblStyle w:val="TableGrid"/>
        <w:tblW w:w="15735" w:type="dxa"/>
        <w:tblInd w:w="-859" w:type="dxa"/>
        <w:tblCellMar>
          <w:top w:w="30" w:type="dxa"/>
          <w:left w:w="22" w:type="dxa"/>
          <w:bottom w:w="36" w:type="dxa"/>
          <w:right w:w="7" w:type="dxa"/>
        </w:tblCellMar>
        <w:tblLook w:val="04A0" w:firstRow="1" w:lastRow="0" w:firstColumn="1" w:lastColumn="0" w:noHBand="0" w:noVBand="1"/>
      </w:tblPr>
      <w:tblGrid>
        <w:gridCol w:w="2136"/>
        <w:gridCol w:w="1458"/>
        <w:gridCol w:w="1458"/>
        <w:gridCol w:w="1458"/>
        <w:gridCol w:w="1458"/>
        <w:gridCol w:w="1458"/>
        <w:gridCol w:w="1458"/>
        <w:gridCol w:w="1458"/>
        <w:gridCol w:w="1458"/>
        <w:gridCol w:w="1935"/>
      </w:tblGrid>
      <w:tr w:rsidR="00C12143" w:rsidRPr="00571932" w14:paraId="48B8DE7B" w14:textId="77777777" w:rsidTr="00571932">
        <w:tc>
          <w:tcPr>
            <w:tcW w:w="2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AC6EF32" w14:textId="77777777" w:rsidR="00C12143" w:rsidRPr="00571932" w:rsidRDefault="00E33F5D">
            <w:pPr>
              <w:ind w:left="348" w:hanging="115"/>
            </w:pPr>
            <w:r w:rsidRPr="00571932">
              <w:rPr>
                <w:rFonts w:eastAsia="Times New Roman"/>
                <w:b/>
                <w:sz w:val="19"/>
              </w:rPr>
              <w:t>Právny základ spracúvania</w:t>
            </w:r>
          </w:p>
        </w:tc>
        <w:tc>
          <w:tcPr>
            <w:tcW w:w="135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CD31426" w14:textId="785440C6" w:rsidR="00C12143" w:rsidRPr="00571932" w:rsidRDefault="00E33F5D">
            <w:pPr>
              <w:ind w:right="35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Práva dotkn</w:t>
            </w:r>
            <w:r w:rsidR="00571932" w:rsidRPr="00571932">
              <w:rPr>
                <w:rFonts w:eastAsia="Times New Roman"/>
                <w:b/>
                <w:sz w:val="19"/>
              </w:rPr>
              <w:t>ut</w:t>
            </w:r>
            <w:r w:rsidRPr="00571932">
              <w:rPr>
                <w:rFonts w:eastAsia="Times New Roman"/>
                <w:b/>
                <w:sz w:val="19"/>
              </w:rPr>
              <w:t>ých osôb podľa všeobecného nariadenia o ochrane údajov</w:t>
            </w:r>
          </w:p>
        </w:tc>
      </w:tr>
      <w:tr w:rsidR="00C12143" w:rsidRPr="00571932" w14:paraId="129DB110" w14:textId="77777777" w:rsidTr="00571932">
        <w:trPr>
          <w:trHeight w:val="724"/>
        </w:trPr>
        <w:tc>
          <w:tcPr>
            <w:tcW w:w="2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E514" w14:textId="77777777" w:rsidR="00C12143" w:rsidRPr="00571932" w:rsidRDefault="00C12143"/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FD02CA5" w14:textId="77777777" w:rsidR="00C12143" w:rsidRPr="00571932" w:rsidRDefault="00E33F5D" w:rsidP="00571932">
            <w:pPr>
              <w:ind w:left="231" w:hanging="10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Informovanie podľa čl. 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04DA3DE" w14:textId="77777777" w:rsidR="00C12143" w:rsidRPr="00571932" w:rsidRDefault="00E33F5D" w:rsidP="00571932">
            <w:pPr>
              <w:ind w:left="231" w:hanging="10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Informovanie podľa čl. 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D941AAB" w14:textId="77777777" w:rsidR="00C12143" w:rsidRPr="00571932" w:rsidRDefault="00E33F5D" w:rsidP="00571932">
            <w:pPr>
              <w:ind w:left="231" w:hanging="23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prístup podľa čl. 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5CFF39A" w14:textId="77777777" w:rsidR="00C12143" w:rsidRPr="00571932" w:rsidRDefault="00E33F5D" w:rsidP="00571932">
            <w:pPr>
              <w:ind w:left="231" w:hanging="23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opravu podľa čl. 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5C14F3C" w14:textId="77777777" w:rsidR="00C12143" w:rsidRPr="00571932" w:rsidRDefault="00E33F5D" w:rsidP="00571932">
            <w:pPr>
              <w:ind w:left="231" w:hanging="202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výmaz podľa čl. 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409870B" w14:textId="77777777" w:rsidR="00C12143" w:rsidRPr="00571932" w:rsidRDefault="00E33F5D" w:rsidP="00571932">
            <w:pPr>
              <w:ind w:left="202" w:firstLine="115"/>
            </w:pPr>
            <w:r w:rsidRPr="00571932">
              <w:rPr>
                <w:rFonts w:eastAsia="Times New Roman"/>
                <w:b/>
                <w:sz w:val="19"/>
              </w:rPr>
              <w:t>Právo na obmedzenie podľa čl. 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C8E6719" w14:textId="77777777" w:rsidR="00C12143" w:rsidRPr="00571932" w:rsidRDefault="00E33F5D" w:rsidP="00571932">
            <w:pPr>
              <w:ind w:left="217" w:firstLine="101"/>
            </w:pPr>
            <w:r w:rsidRPr="00571932">
              <w:rPr>
                <w:rFonts w:eastAsia="Times New Roman"/>
                <w:b/>
                <w:sz w:val="19"/>
              </w:rPr>
              <w:t>Právo na prenosnosť podľa čl. 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E15E31B" w14:textId="77777777" w:rsidR="00C12143" w:rsidRPr="00571932" w:rsidRDefault="00E33F5D" w:rsidP="00571932">
            <w:pPr>
              <w:ind w:left="231" w:hanging="188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namietať podľa čl. 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8B63F0D" w14:textId="77777777" w:rsidR="00C12143" w:rsidRPr="00571932" w:rsidRDefault="00E33F5D" w:rsidP="00571932">
            <w:pPr>
              <w:ind w:left="29" w:right="98" w:firstLine="144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nebyť predmetom AIR podľa čl. 22</w:t>
            </w:r>
          </w:p>
        </w:tc>
      </w:tr>
      <w:tr w:rsidR="00C12143" w:rsidRPr="00571932" w14:paraId="2A602A32" w14:textId="77777777" w:rsidTr="00571932">
        <w:trPr>
          <w:trHeight w:val="1586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E7666" w14:textId="77777777" w:rsidR="00C12143" w:rsidRPr="00571932" w:rsidRDefault="00E33F5D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>súhlas dotknutej osoby</w:t>
            </w:r>
          </w:p>
          <w:p w14:paraId="4830FAC0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a)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6D78" w14:textId="77777777" w:rsidR="00C12143" w:rsidRPr="00571932" w:rsidRDefault="00E33F5D">
            <w:pPr>
              <w:ind w:left="29" w:right="31"/>
            </w:pPr>
            <w:r w:rsidRPr="00571932">
              <w:rPr>
                <w:rFonts w:eastAsia="Times New Roman"/>
                <w:sz w:val="19"/>
              </w:rPr>
              <w:t>áno, zároveň je potrebné dotknutú osobu  upozorniť, že má právo kedykoľvek súhlas odvolať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466A5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27771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D3067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69DAF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C1A3E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783EE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osobné údaje však musia byť spracúvané automatizovane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D1F45" w14:textId="77777777" w:rsidR="00C12143" w:rsidRPr="00571932" w:rsidRDefault="00E33F5D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nie; dotknutá osoba má však právo poskytnutý </w:t>
            </w:r>
          </w:p>
          <w:p w14:paraId="2FA583CB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súhlas kedykoľvek odvolať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C188" w14:textId="77777777" w:rsidR="00C12143" w:rsidRPr="00571932" w:rsidRDefault="00E33F5D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nie, ak je spracúvanie založené na výslovnom </w:t>
            </w:r>
          </w:p>
          <w:p w14:paraId="39B686DA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súhlase dotknutej osoby</w:t>
            </w:r>
          </w:p>
        </w:tc>
      </w:tr>
      <w:tr w:rsidR="00C12143" w:rsidRPr="00571932" w14:paraId="214A1183" w14:textId="77777777" w:rsidTr="00571932">
        <w:trPr>
          <w:trHeight w:val="1155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F8134" w14:textId="77777777" w:rsidR="00C12143" w:rsidRPr="00571932" w:rsidRDefault="00E33F5D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 xml:space="preserve">zmluvné a predzmluvné </w:t>
            </w:r>
          </w:p>
          <w:p w14:paraId="0D4C74D8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vzťahy</w:t>
            </w:r>
          </w:p>
          <w:p w14:paraId="492B4AD9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b)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35282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F960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BC1E5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6F37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8917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17B6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9196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osobné údaje však musia byť spracúvané automatizovane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4F3B3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C316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nie, ak sú osobné údaje nevyhnutné na uzatvorenie zmluvy s dotknutou osobou</w:t>
            </w:r>
          </w:p>
        </w:tc>
      </w:tr>
      <w:tr w:rsidR="00C12143" w:rsidRPr="00571932" w14:paraId="0455FD6B" w14:textId="77777777" w:rsidTr="00571932"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EA55C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zákonná povinnosť</w:t>
            </w:r>
          </w:p>
          <w:p w14:paraId="486A7AEF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c)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B0BBA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D9D70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nie, ak je spracúvanie stanovené v práve únie alebo členského štátu, v ktorom sa stanovujú primerané opatrenia na ochranu oprávnených záujmov dotknutej osoby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D9461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1F3AD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E14A8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B4A0C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4801A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36C2A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77DF" w14:textId="77D2820F" w:rsidR="00C12143" w:rsidRPr="00571932" w:rsidRDefault="00E33F5D">
            <w:pPr>
              <w:spacing w:line="238" w:lineRule="auto"/>
              <w:ind w:left="29" w:right="7"/>
            </w:pPr>
            <w:r w:rsidRPr="00571932">
              <w:rPr>
                <w:rFonts w:eastAsia="Times New Roman"/>
                <w:sz w:val="19"/>
              </w:rPr>
              <w:t xml:space="preserve">nie, ak je spracúvanie povolené právom únie alebo právom </w:t>
            </w:r>
          </w:p>
          <w:p w14:paraId="5C38A670" w14:textId="77777777" w:rsidR="00C12143" w:rsidRPr="00571932" w:rsidRDefault="00E33F5D">
            <w:pPr>
              <w:ind w:left="29" w:right="38"/>
            </w:pPr>
            <w:r w:rsidRPr="00571932">
              <w:rPr>
                <w:rFonts w:eastAsia="Times New Roman"/>
                <w:sz w:val="19"/>
              </w:rPr>
              <w:t>členského štátu, ktorému prevádzkovateľ podlieha a ktorým sa zároveň stanovujú aj vhodné opatrenia zaručujúce ochranu práv a slobôd a oprávnených záujmov dotknutej osoby</w:t>
            </w:r>
          </w:p>
        </w:tc>
      </w:tr>
      <w:tr w:rsidR="00571932" w:rsidRPr="00571932" w14:paraId="42611FDD" w14:textId="77777777" w:rsidTr="00571932">
        <w:tblPrEx>
          <w:tblCellMar>
            <w:top w:w="46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534A9" w14:textId="77777777" w:rsidR="00571932" w:rsidRPr="00571932" w:rsidRDefault="00571932" w:rsidP="00AA32CF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>životne dôležité záujmy</w:t>
            </w:r>
          </w:p>
          <w:p w14:paraId="4AD237E5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d)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739B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ED090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1A7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7F07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E1F0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80E5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CF3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4854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4717" w14:textId="42162D0D" w:rsidR="00571932" w:rsidRPr="00571932" w:rsidRDefault="00571932" w:rsidP="00AA32CF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áno, okrem prípadov, keď je spracúvanie povolené právom únie alebo právom </w:t>
            </w:r>
          </w:p>
          <w:p w14:paraId="38F8F87A" w14:textId="77777777" w:rsidR="00571932" w:rsidRPr="00571932" w:rsidRDefault="00571932" w:rsidP="00AA32CF">
            <w:pPr>
              <w:ind w:left="29" w:right="52"/>
            </w:pPr>
            <w:r w:rsidRPr="00571932">
              <w:rPr>
                <w:rFonts w:eastAsia="Times New Roman"/>
                <w:sz w:val="19"/>
              </w:rPr>
              <w:t xml:space="preserve">členského štátu, ktorému prevádzkovateľ podlieha a ktorým sa zároveň stanovujú aj vhodné opatrenia </w:t>
            </w:r>
            <w:r w:rsidRPr="00571932">
              <w:rPr>
                <w:rFonts w:eastAsia="Times New Roman"/>
                <w:sz w:val="19"/>
              </w:rPr>
              <w:lastRenderedPageBreak/>
              <w:t>zaručujúce ochranu práv a slobôd a oprávnených záujmov dotknutej osoby</w:t>
            </w:r>
          </w:p>
        </w:tc>
      </w:tr>
      <w:tr w:rsidR="00571932" w:rsidRPr="00571932" w14:paraId="531EC94F" w14:textId="77777777" w:rsidTr="00571932">
        <w:tblPrEx>
          <w:tblCellMar>
            <w:top w:w="44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5426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lastRenderedPageBreak/>
              <w:t>verejný záujem</w:t>
            </w:r>
          </w:p>
          <w:p w14:paraId="7A0F2718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e)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BB62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71E4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16129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933CB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4BAAD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6712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10D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06A04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E7BA" w14:textId="762DC556" w:rsidR="00571932" w:rsidRPr="00571932" w:rsidRDefault="00571932" w:rsidP="00AA32CF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áno, okrem prípadov, keď je spracúvanie povolené právom únie alebo </w:t>
            </w:r>
          </w:p>
          <w:p w14:paraId="6D59C75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 xml:space="preserve">právom </w:t>
            </w:r>
          </w:p>
          <w:p w14:paraId="2840A5A1" w14:textId="77777777" w:rsidR="00571932" w:rsidRPr="00571932" w:rsidRDefault="00571932" w:rsidP="00AA32CF">
            <w:pPr>
              <w:ind w:left="29" w:right="52"/>
            </w:pPr>
            <w:r w:rsidRPr="00571932">
              <w:rPr>
                <w:rFonts w:eastAsia="Times New Roman"/>
                <w:sz w:val="19"/>
              </w:rPr>
              <w:t>členského štátu, ktorému prevádzkovateľ podlieha a ktorým sa zároveň stanovujú aj vhodné opatrenia zaručujúce ochranu práv a slobôd a oprávnených záujmov dotknutej osoby</w:t>
            </w:r>
          </w:p>
        </w:tc>
      </w:tr>
      <w:tr w:rsidR="00571932" w:rsidRPr="00571932" w14:paraId="1BFFEC06" w14:textId="77777777" w:rsidTr="00571932">
        <w:tblPrEx>
          <w:tblCellMar>
            <w:top w:w="44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360D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oprávnený záujem</w:t>
            </w:r>
          </w:p>
          <w:p w14:paraId="67EA53C8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f)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0F4D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C92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prípadu keď je pravdepodobné, že povinnosť znemožní alebo závažným spôsobom sťaží dosiahnutie cieľov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92C6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7E17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E8C2" w14:textId="77777777" w:rsidR="00571932" w:rsidRPr="00571932" w:rsidRDefault="00571932" w:rsidP="00AA32CF">
            <w:pPr>
              <w:ind w:left="29" w:right="13"/>
            </w:pPr>
            <w:r w:rsidRPr="00571932">
              <w:rPr>
                <w:rFonts w:eastAsia="Times New Roman"/>
                <w:sz w:val="19"/>
              </w:rPr>
              <w:t>áno, okrem prípadov preukazovania, uplatňovania alebo obhajovania právnych nárokov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415B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0199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2DEBF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090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</w:tr>
    </w:tbl>
    <w:p w14:paraId="71E7A678" w14:textId="77777777" w:rsidR="00C12143" w:rsidRPr="00571932" w:rsidRDefault="00C12143">
      <w:pPr>
        <w:spacing w:after="0"/>
        <w:ind w:left="-1440" w:right="15400"/>
      </w:pPr>
    </w:p>
    <w:p w14:paraId="76925557" w14:textId="77777777" w:rsidR="00C12143" w:rsidRPr="00571932" w:rsidRDefault="00C12143">
      <w:pPr>
        <w:spacing w:after="0"/>
        <w:ind w:left="-1440" w:right="15400"/>
      </w:pPr>
    </w:p>
    <w:p w14:paraId="3BC79950" w14:textId="77777777" w:rsidR="00555BA7" w:rsidRPr="00571932" w:rsidRDefault="00555BA7"/>
    <w:sectPr w:rsidR="00555BA7" w:rsidRPr="00571932" w:rsidSect="00155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40" w:bottom="568" w:left="1440" w:header="438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932B" w14:textId="77777777" w:rsidR="000F2C8F" w:rsidRDefault="000F2C8F">
      <w:pPr>
        <w:spacing w:after="0" w:line="240" w:lineRule="auto"/>
      </w:pPr>
      <w:r>
        <w:separator/>
      </w:r>
    </w:p>
  </w:endnote>
  <w:endnote w:type="continuationSeparator" w:id="0">
    <w:p w14:paraId="5F0D70E4" w14:textId="77777777" w:rsidR="000F2C8F" w:rsidRDefault="000F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0E20" w14:textId="77777777" w:rsidR="00C12143" w:rsidRDefault="00E33F5D">
    <w:pPr>
      <w:tabs>
        <w:tab w:val="right" w:pos="14967"/>
      </w:tabs>
      <w:spacing w:after="0"/>
      <w:ind w:left="-1008" w:right="-1007"/>
    </w:pPr>
    <w:r>
      <w:rPr>
        <w:rFonts w:ascii="Arial" w:eastAsia="Arial" w:hAnsi="Arial" w:cs="Arial"/>
        <w:sz w:val="20"/>
      </w:rPr>
      <w:t>www.gdpracademy.sk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04B7" w14:textId="0CAADBFF" w:rsidR="00C12143" w:rsidRDefault="00C12143">
    <w:pPr>
      <w:tabs>
        <w:tab w:val="right" w:pos="14967"/>
      </w:tabs>
      <w:spacing w:after="0"/>
      <w:ind w:left="-1008" w:right="-100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467A" w14:textId="77777777" w:rsidR="00C12143" w:rsidRDefault="00E33F5D">
    <w:pPr>
      <w:tabs>
        <w:tab w:val="right" w:pos="14967"/>
      </w:tabs>
      <w:spacing w:after="0"/>
      <w:ind w:left="-1008" w:right="-1007"/>
    </w:pPr>
    <w:r>
      <w:rPr>
        <w:rFonts w:ascii="Arial" w:eastAsia="Arial" w:hAnsi="Arial" w:cs="Arial"/>
        <w:sz w:val="20"/>
      </w:rPr>
      <w:t>www.gdpracademy.sk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BDE2" w14:textId="77777777" w:rsidR="000F2C8F" w:rsidRDefault="000F2C8F">
      <w:pPr>
        <w:spacing w:after="0" w:line="240" w:lineRule="auto"/>
      </w:pPr>
      <w:r>
        <w:separator/>
      </w:r>
    </w:p>
  </w:footnote>
  <w:footnote w:type="continuationSeparator" w:id="0">
    <w:p w14:paraId="62BC9B52" w14:textId="77777777" w:rsidR="000F2C8F" w:rsidRDefault="000F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AF64" w14:textId="77777777" w:rsidR="00C12143" w:rsidRDefault="00E33F5D">
    <w:pPr>
      <w:spacing w:after="0"/>
      <w:ind w:left="-1008"/>
    </w:pPr>
    <w:r>
      <w:rPr>
        <w:rFonts w:ascii="Arial" w:eastAsia="Arial" w:hAnsi="Arial" w:cs="Arial"/>
        <w:sz w:val="20"/>
      </w:rPr>
      <w:t xml:space="preserve">Matica právnych základov a práv dotknutých osôb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9BF9" w14:textId="11C68CE6" w:rsidR="00C12143" w:rsidRDefault="00C12143">
    <w:pPr>
      <w:spacing w:after="0"/>
      <w:ind w:left="-10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8A87" w14:textId="77777777" w:rsidR="00C12143" w:rsidRDefault="00E33F5D">
    <w:pPr>
      <w:spacing w:after="0"/>
      <w:ind w:left="-1008"/>
    </w:pPr>
    <w:r>
      <w:rPr>
        <w:rFonts w:ascii="Arial" w:eastAsia="Arial" w:hAnsi="Arial" w:cs="Arial"/>
        <w:sz w:val="20"/>
      </w:rPr>
      <w:t xml:space="preserve">Matica právnych základov a práv dotknutých osôb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43"/>
    <w:rsid w:val="000F2C8F"/>
    <w:rsid w:val="00155F15"/>
    <w:rsid w:val="00555BA7"/>
    <w:rsid w:val="00571932"/>
    <w:rsid w:val="00A77813"/>
    <w:rsid w:val="00C12143"/>
    <w:rsid w:val="00E3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D11A"/>
  <w15:docId w15:val="{ED0B205A-9A0D-4EF1-AB96-A155DEB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Mičkiová</dc:creator>
  <cp:keywords/>
  <cp:lastModifiedBy>Lucia Mičkiová</cp:lastModifiedBy>
  <cp:revision>4</cp:revision>
  <dcterms:created xsi:type="dcterms:W3CDTF">2024-02-14T20:00:00Z</dcterms:created>
  <dcterms:modified xsi:type="dcterms:W3CDTF">2025-04-25T09:24:00Z</dcterms:modified>
</cp:coreProperties>
</file>